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604D" w:rsidRPr="008A604D" w:rsidRDefault="008A604D" w:rsidP="008A604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8A604D">
        <w:rPr>
          <w:rFonts w:ascii="Arial" w:hAnsi="Arial" w:cs="Arial"/>
          <w:b/>
          <w:sz w:val="28"/>
          <w:szCs w:val="28"/>
        </w:rPr>
        <w:t>Plan de Sostenibilidad Turística en la Mancomunidad del Embalse del Atazar</w:t>
      </w:r>
      <w:r w:rsidR="004C65BC">
        <w:rPr>
          <w:rFonts w:ascii="Arial" w:hAnsi="Arial" w:cs="Arial"/>
          <w:b/>
          <w:sz w:val="28"/>
          <w:szCs w:val="28"/>
        </w:rPr>
        <w:t xml:space="preserve"> - Comarca del Agua</w:t>
      </w:r>
      <w:bookmarkStart w:id="0" w:name="_GoBack"/>
      <w:bookmarkEnd w:id="0"/>
    </w:p>
    <w:p w:rsidR="008A604D" w:rsidRPr="003D6734" w:rsidRDefault="008A604D" w:rsidP="008A604D">
      <w:pPr>
        <w:jc w:val="center"/>
        <w:rPr>
          <w:rFonts w:ascii="Arial" w:hAnsi="Arial" w:cs="Arial"/>
          <w:bCs/>
          <w:color w:val="0070C0"/>
          <w:sz w:val="24"/>
          <w:szCs w:val="24"/>
        </w:rPr>
      </w:pPr>
      <w:r w:rsidRPr="003D6734">
        <w:rPr>
          <w:rFonts w:ascii="Arial" w:hAnsi="Arial" w:cs="Arial"/>
          <w:bCs/>
          <w:color w:val="0070C0"/>
          <w:sz w:val="24"/>
          <w:szCs w:val="24"/>
        </w:rPr>
        <w:t>“Modelo turístico sostenible, accesible y participativo”</w:t>
      </w:r>
    </w:p>
    <w:p w:rsidR="008A604D" w:rsidRPr="00FA47E0" w:rsidRDefault="008A604D" w:rsidP="008A604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4C1DD881" wp14:editId="3007B743">
            <wp:extent cx="3587704" cy="2012023"/>
            <wp:effectExtent l="0" t="0" r="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704" t="3972" r="6279" b="9281"/>
                    <a:stretch/>
                  </pic:blipFill>
                  <pic:spPr bwMode="auto">
                    <a:xfrm>
                      <a:off x="0" y="0"/>
                      <a:ext cx="3592534" cy="2014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04D" w:rsidRPr="00FA47E0" w:rsidRDefault="008A604D" w:rsidP="008A60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A604D" w:rsidRPr="0030113C" w:rsidRDefault="008A604D" w:rsidP="008A604D">
      <w:pPr>
        <w:spacing w:after="240" w:line="276" w:lineRule="auto"/>
        <w:jc w:val="both"/>
        <w:rPr>
          <w:rFonts w:ascii="Arial" w:hAnsi="Arial" w:cs="Arial"/>
          <w:bCs/>
        </w:rPr>
      </w:pPr>
      <w:r w:rsidRPr="0030113C">
        <w:rPr>
          <w:rFonts w:ascii="Arial" w:hAnsi="Arial" w:cs="Arial"/>
          <w:bCs/>
        </w:rPr>
        <w:t xml:space="preserve">La Mancomunidad del Embalse del Atazar, situada en la Sierra Norte de Madrid, está integrada por seis municipios: </w:t>
      </w:r>
      <w:r w:rsidRPr="003D6734">
        <w:rPr>
          <w:rFonts w:ascii="Arial" w:hAnsi="Arial" w:cs="Arial"/>
          <w:bCs/>
          <w:color w:val="0070C0"/>
        </w:rPr>
        <w:t>El Atazar, El Berrueco, Cervera de Buitrago, Patones, Puentes Viejas y Robledillo de la Jara</w:t>
      </w:r>
      <w:r w:rsidRPr="0030113C">
        <w:rPr>
          <w:rFonts w:ascii="Arial" w:hAnsi="Arial" w:cs="Arial"/>
          <w:bCs/>
        </w:rPr>
        <w:t xml:space="preserve">. Un territorio de enorme atractivo, en el que el agua y otros recursos naturales, junto a un valioso patrimonio histórico y cultural, son nuestras principales señas de identidad. </w:t>
      </w:r>
    </w:p>
    <w:p w:rsidR="008A604D" w:rsidRPr="0030113C" w:rsidRDefault="008A604D" w:rsidP="008A604D">
      <w:pPr>
        <w:spacing w:after="240" w:line="276" w:lineRule="auto"/>
        <w:jc w:val="both"/>
        <w:rPr>
          <w:rFonts w:ascii="Arial" w:hAnsi="Arial" w:cs="Arial"/>
          <w:bCs/>
        </w:rPr>
      </w:pPr>
      <w:r w:rsidRPr="0030113C">
        <w:rPr>
          <w:rFonts w:ascii="Arial" w:hAnsi="Arial" w:cs="Arial"/>
          <w:bCs/>
        </w:rPr>
        <w:t xml:space="preserve">A través del Plan de Sostenibilidad Turística vamos a trabajar por un destino turístico sostenible de referencia, en el que tendrán un papel clave la accesibilidad e inclusión social, la calidad turística, la sostenibilidad, la innovación, el desarrollo local, el diálogo y la participación. </w:t>
      </w:r>
    </w:p>
    <w:p w:rsidR="008A604D" w:rsidRPr="009A1EA9" w:rsidRDefault="008A604D" w:rsidP="008A604D">
      <w:pPr>
        <w:spacing w:after="240" w:line="276" w:lineRule="auto"/>
        <w:jc w:val="both"/>
        <w:rPr>
          <w:rFonts w:ascii="Arial" w:hAnsi="Arial" w:cs="Arial"/>
          <w:bCs/>
        </w:rPr>
      </w:pPr>
      <w:r w:rsidRPr="009A1EA9">
        <w:rPr>
          <w:rFonts w:ascii="Arial" w:hAnsi="Arial" w:cs="Arial"/>
          <w:bCs/>
        </w:rPr>
        <w:t xml:space="preserve">Cuenta con la financiación de la Secretaría de Estado de Turismo del Ministerio de Industria, Comercio y Turismo (50%), de la Consejería de Cultura, Turismo y Deporte de la Comunidad de Madrid (40%) y de la Mancomunidad del Embalse del Atazar (10%). El proyecto se ha dotado con una inversión total de 1.656.732 euros de los </w:t>
      </w:r>
      <w:r w:rsidRPr="00526FB0">
        <w:rPr>
          <w:rStyle w:val="Textoennegrita"/>
          <w:rFonts w:ascii="Arial" w:hAnsi="Arial" w:cs="Arial"/>
          <w:b w:val="0"/>
          <w:shd w:val="clear" w:color="auto" w:fill="FFFFFF"/>
        </w:rPr>
        <w:t xml:space="preserve">fondos </w:t>
      </w:r>
      <w:proofErr w:type="spellStart"/>
      <w:r w:rsidRPr="00526FB0">
        <w:rPr>
          <w:rStyle w:val="Textoennegrita"/>
          <w:rFonts w:ascii="Arial" w:hAnsi="Arial" w:cs="Arial"/>
          <w:b w:val="0"/>
          <w:shd w:val="clear" w:color="auto" w:fill="FFFFFF"/>
        </w:rPr>
        <w:t>Next</w:t>
      </w:r>
      <w:proofErr w:type="spellEnd"/>
      <w:r w:rsidRPr="00526FB0">
        <w:rPr>
          <w:rStyle w:val="Textoennegrita"/>
          <w:rFonts w:ascii="Arial" w:hAnsi="Arial" w:cs="Arial"/>
          <w:b w:val="0"/>
          <w:shd w:val="clear" w:color="auto" w:fill="FFFFFF"/>
        </w:rPr>
        <w:t xml:space="preserve"> </w:t>
      </w:r>
      <w:proofErr w:type="spellStart"/>
      <w:r w:rsidRPr="00526FB0">
        <w:rPr>
          <w:rStyle w:val="Textoennegrita"/>
          <w:rFonts w:ascii="Arial" w:hAnsi="Arial" w:cs="Arial"/>
          <w:b w:val="0"/>
          <w:shd w:val="clear" w:color="auto" w:fill="FFFFFF"/>
        </w:rPr>
        <w:t>Generation</w:t>
      </w:r>
      <w:proofErr w:type="spellEnd"/>
      <w:r w:rsidR="00526FB0">
        <w:rPr>
          <w:rStyle w:val="Textoennegrita"/>
          <w:rFonts w:ascii="Arial" w:hAnsi="Arial" w:cs="Arial"/>
          <w:b w:val="0"/>
          <w:shd w:val="clear" w:color="auto" w:fill="FFFFFF"/>
        </w:rPr>
        <w:t>,</w:t>
      </w:r>
      <w:r w:rsidRPr="009A1EA9">
        <w:rPr>
          <w:rFonts w:ascii="Arial" w:hAnsi="Arial" w:cs="Arial"/>
          <w:b/>
          <w:shd w:val="clear" w:color="auto" w:fill="FFFFFF"/>
        </w:rPr>
        <w:t> </w:t>
      </w:r>
      <w:r w:rsidRPr="009A1EA9">
        <w:rPr>
          <w:rFonts w:ascii="Arial" w:hAnsi="Arial" w:cs="Arial"/>
          <w:bCs/>
        </w:rPr>
        <w:t>que se ha distribuido para tres anualidades.</w:t>
      </w:r>
    </w:p>
    <w:p w:rsidR="008A604D" w:rsidRDefault="008A604D" w:rsidP="008A604D">
      <w:pPr>
        <w:spacing w:after="240" w:line="276" w:lineRule="auto"/>
        <w:jc w:val="both"/>
        <w:rPr>
          <w:rFonts w:ascii="Arial" w:hAnsi="Arial" w:cs="Arial"/>
          <w:bCs/>
        </w:rPr>
      </w:pPr>
      <w:r w:rsidRPr="0030113C">
        <w:rPr>
          <w:rFonts w:ascii="Arial" w:hAnsi="Arial" w:cs="Arial"/>
          <w:bCs/>
        </w:rPr>
        <w:t>El</w:t>
      </w:r>
      <w:r>
        <w:rPr>
          <w:rFonts w:ascii="Arial" w:hAnsi="Arial" w:cs="Arial"/>
          <w:bCs/>
        </w:rPr>
        <w:t xml:space="preserve"> Plan se estructura en torno a 4 ejes programáticos</w:t>
      </w:r>
      <w:r w:rsidRPr="0030113C">
        <w:rPr>
          <w:rFonts w:ascii="Arial" w:hAnsi="Arial" w:cs="Arial"/>
          <w:bCs/>
        </w:rPr>
        <w:t>, en los que se integran 17 actuaciones innovadoras de desarrollo rural local,</w:t>
      </w:r>
      <w:r>
        <w:rPr>
          <w:rFonts w:ascii="Arial" w:hAnsi="Arial" w:cs="Arial"/>
          <w:bCs/>
        </w:rPr>
        <w:t xml:space="preserve"> en sintonía con el territorio y sus recursos locales, con proyectos y temáticas diversas de actuación en la infraestructura turística, la movilidad, la eficiencia energética, la digitalización y la comunicación del destino, la competitividad y la calidad de la oferta, para promover un destino turístico sostenible, diverso, accesible y participativo.</w:t>
      </w:r>
    </w:p>
    <w:p w:rsidR="008A604D" w:rsidRDefault="008A604D" w:rsidP="008A604D">
      <w:pPr>
        <w:spacing w:after="240" w:line="276" w:lineRule="auto"/>
        <w:jc w:val="both"/>
        <w:rPr>
          <w:rFonts w:ascii="Arial" w:hAnsi="Arial" w:cs="Arial"/>
          <w:bCs/>
        </w:rPr>
      </w:pPr>
      <w:r w:rsidRPr="00B45C69">
        <w:rPr>
          <w:rFonts w:ascii="Arial" w:hAnsi="Arial" w:cs="Arial"/>
          <w:bCs/>
        </w:rPr>
        <w:t xml:space="preserve">En definitiva, un plan para todas las entidades y empresas, y para todas las personas. </w:t>
      </w:r>
    </w:p>
    <w:p w:rsidR="008A604D" w:rsidRDefault="008A604D" w:rsidP="008A604D">
      <w:pPr>
        <w:spacing w:after="240" w:line="276" w:lineRule="auto"/>
        <w:jc w:val="both"/>
        <w:rPr>
          <w:rFonts w:ascii="Arial" w:hAnsi="Arial" w:cs="Arial"/>
          <w:bCs/>
        </w:rPr>
      </w:pPr>
    </w:p>
    <w:tbl>
      <w:tblPr>
        <w:tblStyle w:val="Tablaconcuadrcula"/>
        <w:tblW w:w="13042" w:type="dxa"/>
        <w:tblInd w:w="-18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8"/>
        <w:gridCol w:w="2070"/>
        <w:gridCol w:w="5534"/>
      </w:tblGrid>
      <w:tr w:rsidR="008A604D" w:rsidTr="00687988">
        <w:tc>
          <w:tcPr>
            <w:tcW w:w="5438" w:type="dxa"/>
          </w:tcPr>
          <w:p w:rsidR="008A604D" w:rsidRDefault="008A604D" w:rsidP="00687988">
            <w:pPr>
              <w:spacing w:after="240" w:line="276" w:lineRule="auto"/>
              <w:jc w:val="center"/>
              <w:rPr>
                <w:rFonts w:ascii="Arial" w:hAnsi="Arial" w:cs="Arial"/>
                <w:bCs/>
              </w:rPr>
            </w:pPr>
            <w:r w:rsidRPr="00DF3640">
              <w:rPr>
                <w:rFonts w:ascii="Arial" w:hAnsi="Arial" w:cs="Arial"/>
                <w:noProof/>
                <w:lang w:eastAsia="es-ES"/>
              </w:rPr>
              <w:drawing>
                <wp:inline distT="0" distB="0" distL="0" distR="0" wp14:anchorId="330E5C7C" wp14:editId="48FEBE0A">
                  <wp:extent cx="2599200" cy="540000"/>
                  <wp:effectExtent l="0" t="0" r="0" b="0"/>
                  <wp:docPr id="4" name="Imagen 4" descr="C:\Users\igonzalezt\Desktop\Irene\PLANES DE SOSTENIBILIDAD\Documentación PLANES\Modelo convenio\09-4- MICT.Gob + S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gonzalezt\Desktop\Irene\PLANES DE SOSTENIBILIDAD\Documentación PLANES\Modelo convenio\09-4- MICT.Gob + S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2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:rsidR="008A604D" w:rsidRDefault="008A604D" w:rsidP="00687988">
            <w:pPr>
              <w:spacing w:after="240" w:line="276" w:lineRule="auto"/>
              <w:jc w:val="center"/>
              <w:rPr>
                <w:rFonts w:ascii="Arial" w:hAnsi="Arial" w:cs="Arial"/>
                <w:bCs/>
              </w:rPr>
            </w:pPr>
            <w:r w:rsidRPr="00EB1F63">
              <w:rPr>
                <w:rFonts w:ascii="Arial" w:hAnsi="Arial" w:cs="Arial"/>
                <w:noProof/>
                <w:lang w:eastAsia="es-ES"/>
              </w:rPr>
              <w:drawing>
                <wp:inline distT="0" distB="0" distL="0" distR="0" wp14:anchorId="6FCD59ED" wp14:editId="33FFC033">
                  <wp:extent cx="540000" cy="540000"/>
                  <wp:effectExtent l="0" t="0" r="0" b="0"/>
                  <wp:docPr id="5" name="Imagen 5" descr="COMUNIDAD DE MADRID. CONSEJERÍA DE CULTURA, TURISMO Y DEPORTES. DIRECCIÓN  GENERAL DE PROMOCIÓN CULTURAL Mercartes 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OMUNIDAD DE MADRID. CONSEJERÍA DE CULTURA, TURISMO Y DEPORTES. DIRECCIÓN  GENERAL DE PROMOCIÓN CULTURAL Mercartes 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4" w:type="dxa"/>
          </w:tcPr>
          <w:p w:rsidR="008A604D" w:rsidRDefault="008A604D" w:rsidP="00687988">
            <w:pPr>
              <w:spacing w:after="240" w:line="276" w:lineRule="auto"/>
              <w:jc w:val="center"/>
              <w:rPr>
                <w:rFonts w:ascii="Arial" w:hAnsi="Arial" w:cs="Arial"/>
                <w:bCs/>
              </w:rPr>
            </w:pPr>
            <w:r w:rsidRPr="00EB1F63">
              <w:rPr>
                <w:rFonts w:ascii="Arial" w:hAnsi="Arial" w:cs="Arial"/>
                <w:noProof/>
                <w:lang w:eastAsia="es-ES"/>
              </w:rPr>
              <w:drawing>
                <wp:inline distT="0" distB="0" distL="0" distR="0" wp14:anchorId="757D3BF7" wp14:editId="607271F5">
                  <wp:extent cx="1396800" cy="540000"/>
                  <wp:effectExtent l="0" t="0" r="0" b="0"/>
                  <wp:docPr id="2" name="Imagen 2" descr="D:\TURISMO-PILAR\LOGOS\LOGO-MANCOMUNID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TURISMO-PILAR\LOGOS\LOGO-MANCOMUNID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8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604D" w:rsidRDefault="008A604D" w:rsidP="008A604D">
      <w:pPr>
        <w:spacing w:line="276" w:lineRule="auto"/>
        <w:jc w:val="both"/>
        <w:rPr>
          <w:rFonts w:ascii="Arial" w:hAnsi="Arial" w:cs="Arial"/>
        </w:rPr>
      </w:pPr>
    </w:p>
    <w:sectPr w:rsidR="008A604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04D"/>
    <w:rsid w:val="00294AF4"/>
    <w:rsid w:val="00436BDB"/>
    <w:rsid w:val="004C65BC"/>
    <w:rsid w:val="00526FB0"/>
    <w:rsid w:val="008A604D"/>
    <w:rsid w:val="009E03C9"/>
    <w:rsid w:val="00B216FB"/>
    <w:rsid w:val="00FC2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0D76CC-0AF5-4E89-A86F-7B93C737F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604D"/>
  </w:style>
  <w:style w:type="paragraph" w:styleId="Ttulo3">
    <w:name w:val="heading 3"/>
    <w:basedOn w:val="Normal"/>
    <w:link w:val="Ttulo3Car"/>
    <w:uiPriority w:val="9"/>
    <w:qFormat/>
    <w:rsid w:val="008A60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8A604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styleId="Textoennegrita">
    <w:name w:val="Strong"/>
    <w:basedOn w:val="Fuentedeprrafopredeter"/>
    <w:uiPriority w:val="22"/>
    <w:qFormat/>
    <w:rsid w:val="008A604D"/>
    <w:rPr>
      <w:b/>
      <w:bCs/>
    </w:rPr>
  </w:style>
  <w:style w:type="table" w:styleId="Tablaconcuadrcula">
    <w:name w:val="Table Grid"/>
    <w:basedOn w:val="Tablanormal"/>
    <w:uiPriority w:val="39"/>
    <w:rsid w:val="008A60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278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1806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ICM</dc:creator>
  <cp:keywords/>
  <dc:description/>
  <cp:lastModifiedBy>ICM</cp:lastModifiedBy>
  <cp:revision>6</cp:revision>
  <dcterms:created xsi:type="dcterms:W3CDTF">2023-01-27T08:12:00Z</dcterms:created>
  <dcterms:modified xsi:type="dcterms:W3CDTF">2023-01-27T09:45:00Z</dcterms:modified>
</cp:coreProperties>
</file>